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响应文件2</w:t>
      </w:r>
      <w:r>
        <w:rPr>
          <w:rFonts w:hint="eastAsia" w:ascii="宋体" w:hAnsi="宋体"/>
          <w:b/>
          <w:bCs/>
          <w:sz w:val="24"/>
        </w:rPr>
        <w:t xml:space="preserve">： </w:t>
      </w:r>
    </w:p>
    <w:p>
      <w:pPr>
        <w:spacing w:line="520" w:lineRule="exact"/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用户需求书响应声明函</w:t>
      </w:r>
      <w:bookmarkStart w:id="0" w:name="_Hlk37864362"/>
    </w:p>
    <w:p>
      <w:pPr>
        <w:spacing w:line="72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致</w:t>
      </w:r>
      <w:r>
        <w:rPr>
          <w:rFonts w:hint="eastAsia" w:ascii="宋体" w:hAnsi="宋体"/>
          <w:b/>
          <w:sz w:val="24"/>
        </w:rPr>
        <w:t>：广东省特种设备检测研究院</w:t>
      </w:r>
      <w:r>
        <w:rPr>
          <w:rFonts w:hint="eastAsia" w:ascii="宋体" w:hAnsi="宋体"/>
          <w:b/>
          <w:sz w:val="24"/>
          <w:lang w:eastAsia="zh-CN"/>
        </w:rPr>
        <w:t>佛山检测院</w:t>
      </w:r>
      <w:r>
        <w:rPr>
          <w:rFonts w:hint="eastAsia" w:ascii="宋体" w:hAnsi="宋体"/>
          <w:b/>
          <w:sz w:val="24"/>
        </w:rPr>
        <w:t>：</w:t>
      </w:r>
    </w:p>
    <w:bookmarkEnd w:id="0"/>
    <w:p>
      <w:pPr>
        <w:tabs>
          <w:tab w:val="left" w:pos="6237"/>
        </w:tabs>
        <w:snapToGrid w:val="0"/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关于贵单位发布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场（厂）内机动车辆综合智能检测系统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采购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</w:rPr>
        <w:t>项目</w:t>
      </w:r>
      <w:bookmarkStart w:id="1" w:name="_GoBack"/>
      <w:r>
        <w:rPr>
          <w:rFonts w:hint="eastAsia" w:ascii="宋体" w:hAnsi="宋体" w:eastAsia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（编号：GDTJFSJCY2023[采]1001号）</w:t>
      </w:r>
      <w:bookmarkEnd w:id="1"/>
      <w:r>
        <w:rPr>
          <w:rFonts w:hint="eastAsia" w:ascii="宋体" w:hAnsi="宋体" w:cs="宋体"/>
          <w:sz w:val="24"/>
        </w:rPr>
        <w:t>的竞价公告，本公司（企业）愿意参加采购竞价活动，并作出如下声明：</w:t>
      </w:r>
    </w:p>
    <w:p>
      <w:pPr>
        <w:tabs>
          <w:tab w:val="left" w:pos="426"/>
        </w:tabs>
        <w:snapToGrid w:val="0"/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tabs>
          <w:tab w:val="left" w:pos="426"/>
        </w:tabs>
        <w:snapToGrid w:val="0"/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本公司（企业）承诺在本次采购活动中，如有违法、违规、弄虚作假行为，所造成的损失、不良后果及法律责任，一律由我公司（企业）承担。</w:t>
      </w:r>
    </w:p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ordWrap w:val="0"/>
        <w:spacing w:line="500" w:lineRule="exact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spacing w:val="4"/>
          <w:sz w:val="24"/>
        </w:rPr>
        <w:t>供应（服务）商名称（</w:t>
      </w:r>
      <w:r>
        <w:rPr>
          <w:rFonts w:hint="eastAsia" w:ascii="宋体" w:hAnsi="宋体" w:cs="宋体"/>
          <w:sz w:val="24"/>
        </w:rPr>
        <w:t>单位盖</w:t>
      </w:r>
      <w:r>
        <w:rPr>
          <w:rFonts w:hint="eastAsia" w:ascii="宋体" w:hAnsi="宋体" w:cs="宋体"/>
          <w:spacing w:val="4"/>
          <w:sz w:val="24"/>
        </w:rPr>
        <w:t>公章）：</w:t>
      </w:r>
      <w:r>
        <w:rPr>
          <w:rFonts w:ascii="宋体" w:hAnsi="宋体" w:cs="宋体"/>
          <w:spacing w:val="4"/>
          <w:sz w:val="24"/>
          <w:u w:val="single"/>
        </w:rPr>
        <w:t xml:space="preserve">                </w:t>
      </w:r>
    </w:p>
    <w:p>
      <w:pPr>
        <w:spacing w:line="500" w:lineRule="exact"/>
        <w:ind w:firstLine="120" w:firstLineChars="50"/>
        <w:jc w:val="right"/>
        <w:rPr>
          <w:rFonts w:ascii="宋体" w:hAnsi="宋体"/>
          <w:sz w:val="24"/>
          <w:u w:val="single"/>
        </w:rPr>
      </w:pPr>
    </w:p>
    <w:p>
      <w:pPr>
        <w:wordWrap w:val="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spacing w:val="4"/>
          <w:sz w:val="24"/>
        </w:rPr>
        <w:t>日期：</w:t>
      </w:r>
      <w:r>
        <w:rPr>
          <w:rFonts w:ascii="宋体" w:hAnsi="宋体" w:cs="宋体"/>
          <w:spacing w:val="4"/>
          <w:sz w:val="24"/>
          <w:u w:val="single"/>
        </w:rPr>
        <w:t xml:space="preserve">                </w:t>
      </w: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</w:pPr>
      <w:r>
        <w:rPr>
          <w:b/>
          <w:sz w:val="24"/>
        </w:rPr>
        <w:t>《技术和服务要求响应表》</w:t>
      </w:r>
    </w:p>
    <w:tbl>
      <w:tblPr>
        <w:tblStyle w:val="6"/>
        <w:tblW w:w="988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60"/>
        <w:gridCol w:w="4332"/>
        <w:gridCol w:w="1488"/>
        <w:gridCol w:w="660"/>
        <w:gridCol w:w="150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31" w:type="dxa"/>
          </w:tcPr>
          <w:p>
            <w:r>
              <w:t>序号</w:t>
            </w:r>
          </w:p>
        </w:tc>
        <w:tc>
          <w:tcPr>
            <w:tcW w:w="1260" w:type="dxa"/>
          </w:tcPr>
          <w:p>
            <w:r>
              <w:t>参数性质</w:t>
            </w:r>
          </w:p>
        </w:tc>
        <w:tc>
          <w:tcPr>
            <w:tcW w:w="4332" w:type="dxa"/>
          </w:tcPr>
          <w:p>
            <w:r>
              <w:t>采购文件规定的技术和服务要求</w:t>
            </w:r>
          </w:p>
        </w:tc>
        <w:tc>
          <w:tcPr>
            <w:tcW w:w="1488" w:type="dxa"/>
          </w:tcPr>
          <w:p>
            <w:r>
              <w:t>投标文件响应的具体内容</w:t>
            </w:r>
          </w:p>
        </w:tc>
        <w:tc>
          <w:tcPr>
            <w:tcW w:w="660" w:type="dxa"/>
          </w:tcPr>
          <w:p>
            <w:r>
              <w:t>是否偏离</w:t>
            </w:r>
          </w:p>
        </w:tc>
        <w:tc>
          <w:tcPr>
            <w:tcW w:w="1509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1" w:type="dxa"/>
          </w:tcPr>
          <w:p>
            <w:r>
              <w:t>1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性能要求：</w:t>
            </w:r>
          </w:p>
          <w:p>
            <w:pPr>
              <w:pStyle w:val="1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  <w:t>（一）主机部分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4332" w:type="dxa"/>
          </w:tcPr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内置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高精度三轴动态加速度传感器、角速度传感器，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GPS模块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主机重量范围：不大于750g。</w:t>
            </w:r>
          </w:p>
          <w:p>
            <w:pPr>
              <w:pStyle w:val="13"/>
              <w:numPr>
                <w:ilvl w:val="1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主机显示：屏幕触摸尺寸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不小于10cm*5.8cm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高清电容屏，分辨率≥800*480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。</w:t>
            </w:r>
          </w:p>
          <w:p>
            <w:pPr>
              <w:pStyle w:val="13"/>
              <w:numPr>
                <w:ilvl w:val="1"/>
                <w:numId w:val="2"/>
              </w:numPr>
              <w:spacing w:line="360" w:lineRule="auto"/>
              <w:ind w:left="0" w:leftChars="0" w:firstLine="0" w:firstLineChars="0"/>
              <w:rPr>
                <w:rFonts w:hint="default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主机材质：铝合金</w:t>
            </w:r>
          </w:p>
          <w:p>
            <w:pPr>
              <w:pStyle w:val="13"/>
              <w:numPr>
                <w:ilvl w:val="1"/>
                <w:numId w:val="2"/>
              </w:numPr>
              <w:spacing w:line="360" w:lineRule="auto"/>
              <w:ind w:left="0" w:leftChars="0" w:firstLine="0" w:firstLineChars="0"/>
              <w:rPr>
                <w:rFonts w:hint="default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主机整体尺寸约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14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mX10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mX4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5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m。</w:t>
            </w:r>
          </w:p>
          <w:p>
            <w:pPr>
              <w:pStyle w:val="13"/>
              <w:numPr>
                <w:ilvl w:val="1"/>
                <w:numId w:val="2"/>
              </w:numPr>
              <w:spacing w:line="360" w:lineRule="auto"/>
              <w:ind w:left="0" w:leftChars="0" w:firstLine="0" w:firstLineChars="0"/>
              <w:rPr>
                <w:rFonts w:hint="default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背部嵌入磁吸装置：有</w:t>
            </w:r>
          </w:p>
          <w:p>
            <w:pPr>
              <w:pStyle w:val="13"/>
              <w:numPr>
                <w:ilvl w:val="1"/>
                <w:numId w:val="2"/>
              </w:numPr>
              <w:spacing w:line="360" w:lineRule="auto"/>
              <w:ind w:left="0" w:leftChars="0" w:firstLine="0" w:firstLineChars="0"/>
              <w:rPr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外接一个8孔接口兼容8项功能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。</w:t>
            </w:r>
          </w:p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1" w:type="dxa"/>
          </w:tcPr>
          <w:p>
            <w:r>
              <w:t>2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主机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功能要求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4332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2.1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一体化设计理念，一套设备可测量手刹拉力、踏板压力、方向盘转向力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可扩展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、方向盘转向角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可扩展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、车辆制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动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速度、制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动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减速度、制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动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距离、门架倾角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可扩展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、门架下滑量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可扩展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且符合国家相关检验规程。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、既能主机单独测试，也能蓝牙无线连接平板APP(Android系统)进行测试。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2.4、测试主机可与平板app同步显示数据。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2.5、传感器可自动识别主机，避免误操作，提供加盖制造商公章的软件截图佐证。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2.6、内置GPS模块及加速度测试模块，可获取车辆实时速度，语音提示测试人员操作，提供佐证文件。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、“手刹拉力”和“踏板压力”测试过程有力值曲线实时显示</w:t>
            </w:r>
            <w:r>
              <w:rPr>
                <w:rFonts w:hint="eastAsia" w:ascii="宋体" w:hAnsi="宋体" w:cs="宋体"/>
                <w:sz w:val="24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提供加盖制造商公章的软件截图佐证。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2.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、测试过程中可实时显示测试数据、可存储、可打印可记录的参数。</w:t>
            </w:r>
          </w:p>
          <w:p>
            <w:pPr>
              <w:pStyle w:val="13"/>
              <w:spacing w:line="360" w:lineRule="auto"/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2.9、制动距离测试模块可设定速度阈值，保证测试过程符合要求。</w:t>
            </w:r>
          </w:p>
          <w:p>
            <w:pPr>
              <w:pStyle w:val="13"/>
              <w:spacing w:line="360" w:lineRule="auto"/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2.10、制动距离模块可同时测量踏板压力。</w:t>
            </w:r>
          </w:p>
          <w:p>
            <w:pPr>
              <w:pStyle w:val="13"/>
              <w:spacing w:line="360" w:lineRule="auto"/>
              <w:rPr>
                <w:rFonts w:hint="default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2.11、踏板力模块、手刹力模块自带压力校准功能，提供软件截图。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1" w:type="dxa"/>
          </w:tcPr>
          <w:p>
            <w:r>
              <w:t>3</w:t>
            </w: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技术参数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要求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4332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3.1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踏板力、手刹力模块：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.1、测量范围:0-1000N。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.2、测量分辨率：0.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1N。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.3、力值测试误差：±1%FS。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、制停距离模块：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.1、加速度传感器范围：±3g。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.2、加速度传感器精度：±0.1mg。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.3、制停速度范围：0~100km/h。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.4、制停速度精度：±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1km/h。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3.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.5、制停距离范围：0~100m。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1" w:type="dxa"/>
          </w:tcPr>
          <w:p>
            <w:r>
              <w:t>4</w:t>
            </w:r>
          </w:p>
        </w:tc>
        <w:tc>
          <w:tcPr>
            <w:tcW w:w="1260" w:type="dxa"/>
          </w:tcPr>
          <w:p>
            <w:pPr>
              <w:rPr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配置要求</w:t>
            </w:r>
          </w:p>
        </w:tc>
        <w:tc>
          <w:tcPr>
            <w:tcW w:w="4332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4.1、手刹拉力模块1个、踏板力模块1个,测试主机1个（内置制停距离模块、GPS模块）、充电装置1个、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蓝牙打印机1个、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仪器箱1个、随机资料1份，</w:t>
            </w:r>
          </w:p>
          <w:p>
            <w:pPr>
              <w:spacing w:line="360" w:lineRule="auto"/>
              <w:rPr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4.2、提供使用单位为甲方的市级或以上市场监督管理局下属质计机构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计量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校准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证书。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计量校准内容涵盖需求说明所列技术参数指标。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1" w:type="dxa"/>
          </w:tcPr>
          <w:p>
            <w:r>
              <w:t>5</w:t>
            </w:r>
          </w:p>
        </w:tc>
        <w:tc>
          <w:tcPr>
            <w:tcW w:w="1260" w:type="dxa"/>
          </w:tcPr>
          <w:p/>
        </w:tc>
        <w:tc>
          <w:tcPr>
            <w:tcW w:w="4332" w:type="dxa"/>
          </w:tcPr>
          <w:p/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1" w:type="dxa"/>
          </w:tcPr>
          <w:p>
            <w:r>
              <w:t>6</w:t>
            </w:r>
          </w:p>
        </w:tc>
        <w:tc>
          <w:tcPr>
            <w:tcW w:w="1260" w:type="dxa"/>
          </w:tcPr>
          <w:p/>
        </w:tc>
        <w:tc>
          <w:tcPr>
            <w:tcW w:w="4332" w:type="dxa"/>
          </w:tcPr>
          <w:p/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1" w:type="dxa"/>
          </w:tcPr>
          <w:p>
            <w:r>
              <w:t>……</w:t>
            </w:r>
          </w:p>
        </w:tc>
        <w:tc>
          <w:tcPr>
            <w:tcW w:w="1260" w:type="dxa"/>
          </w:tcPr>
          <w:p/>
        </w:tc>
        <w:tc>
          <w:tcPr>
            <w:tcW w:w="4332" w:type="dxa"/>
          </w:tcPr>
          <w:p/>
        </w:tc>
        <w:tc>
          <w:tcPr>
            <w:tcW w:w="1488" w:type="dxa"/>
          </w:tcPr>
          <w:p/>
        </w:tc>
        <w:tc>
          <w:tcPr>
            <w:tcW w:w="660" w:type="dxa"/>
          </w:tcPr>
          <w:p/>
        </w:tc>
        <w:tc>
          <w:tcPr>
            <w:tcW w:w="1509" w:type="dxa"/>
          </w:tcPr>
          <w:p/>
        </w:tc>
      </w:tr>
    </w:tbl>
    <w:p>
      <w:pPr>
        <w:ind w:firstLine="480"/>
      </w:pPr>
      <w:r>
        <w:t>说明：</w:t>
      </w:r>
    </w:p>
    <w:p>
      <w:pPr>
        <w:ind w:firstLine="480"/>
      </w:pPr>
      <w:r>
        <w:t>1.“采购文件规定的技术和服务要求”项下填写的内容应与招标文件中采购需求的“技术要求”的内容保持一致。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ind w:firstLine="480"/>
      </w:pPr>
      <w:r>
        <w:t>2. 参数性质栏目按</w:t>
      </w:r>
      <w:r>
        <w:rPr>
          <w:rFonts w:hint="eastAsia"/>
          <w:lang w:eastAsia="zh-CN"/>
        </w:rPr>
        <w:t>需求文件</w:t>
      </w:r>
      <w:r>
        <w:t>填写。</w:t>
      </w:r>
    </w:p>
    <w:p>
      <w:pPr>
        <w:ind w:firstLine="480"/>
      </w:pPr>
      <w:r>
        <w:t>3. “是否偏离”项下应按下列规定填写：优于的，填写“正偏离”；符合的，填写“无偏离”；低于的，填写“负偏离”。</w:t>
      </w:r>
    </w:p>
    <w:p>
      <w:pPr>
        <w:ind w:firstLine="480"/>
      </w:pPr>
      <w:r>
        <w:t>4.“备注”处可填写偏离情况的说明。</w:t>
      </w: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54518"/>
    <w:multiLevelType w:val="multilevel"/>
    <w:tmpl w:val="D535451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1">
    <w:nsid w:val="E39CDF6B"/>
    <w:multiLevelType w:val="singleLevel"/>
    <w:tmpl w:val="E39CDF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F1"/>
    <w:rsid w:val="00132A8F"/>
    <w:rsid w:val="00204C28"/>
    <w:rsid w:val="00284685"/>
    <w:rsid w:val="00284FF1"/>
    <w:rsid w:val="004901D0"/>
    <w:rsid w:val="004A0E67"/>
    <w:rsid w:val="005417FD"/>
    <w:rsid w:val="00572014"/>
    <w:rsid w:val="005E4741"/>
    <w:rsid w:val="00906F5D"/>
    <w:rsid w:val="00954F9B"/>
    <w:rsid w:val="00B04BFC"/>
    <w:rsid w:val="00CF7194"/>
    <w:rsid w:val="00D41FED"/>
    <w:rsid w:val="00DF5DBC"/>
    <w:rsid w:val="0DD637F3"/>
    <w:rsid w:val="10026C88"/>
    <w:rsid w:val="1BF8638A"/>
    <w:rsid w:val="1D7F5A6C"/>
    <w:rsid w:val="2DCA61A3"/>
    <w:rsid w:val="2E187B31"/>
    <w:rsid w:val="55AD4F28"/>
    <w:rsid w:val="640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主题 字符"/>
    <w:basedOn w:val="11"/>
    <w:link w:val="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2021-06-18T06:27:00Z</dcterms:created>
  <dc:creator>峣峣</dc:creator>
  <cp:lastModifiedBy>张济斌</cp:lastModifiedBy>
  <dcterms:modified xsi:type="dcterms:W3CDTF">2023-01-31T07:16:58Z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